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esktop\IMG_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1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Настоящее</w:t>
      </w:r>
      <w:r w:rsidRPr="00B77D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Гражданским кодексом Российской Федерации , Федеральным Законом  РФ от 29.12.2012 № 273-ФЗ "Об образовании в Российской Федерации" и Федеральным законом РФ от 11.08.1995 N 135 - ФЗ "О благотворительной деятельности и благотворительных организациях", письмом Минобразования РФ от 15.12.1998 г. № 57 «О внебюджетных средствах образовательных учреждений».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регулирует порядок учета и расходования добровольных целевых взносов и</w:t>
      </w:r>
      <w:bookmarkStart w:id="0" w:name="_GoBack"/>
      <w:bookmarkEnd w:id="0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пожертвований физических и (или) юридических лиц, в том числе родителей (законных представителей)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  </w:t>
      </w:r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Муниципальным</w:t>
      </w:r>
      <w:proofErr w:type="gramEnd"/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бюджетным дошкольным образовательным  учреждением «Детский сад № 7 </w:t>
      </w:r>
      <w:proofErr w:type="spellStart"/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г.Гудермес</w:t>
      </w:r>
      <w:proofErr w:type="spellEnd"/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Гудермесского</w:t>
      </w:r>
      <w:proofErr w:type="spellEnd"/>
      <w:r w:rsidRPr="00B77D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муниципального района»  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 — Учреждение).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Деятельность Учреждения финансируется Учредителем в соответствии с договором, заключенным между ними. Нормативы финансирования Учреждения определяются в соответствии федеральных нормативов. Нормативы финансирования Учреждения в размере, необходимом для реализации основных образовательных программ в части финансирования расходов на оплату труда работников Учреждения, расходов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учебные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пособия, технические средства обучения, расходные материалы и хозяйственные нужды, устанавливаются органами государственной власти </w:t>
      </w:r>
      <w:proofErr w:type="spell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Гудермесского</w:t>
      </w:r>
      <w:proofErr w:type="spell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Учреждение вправе привлекать в порядке, установленном законодательством Российской Федерации, дополнительные источники финансовых и материальных средств, за счет добровольных пожертвований (далее - пожертвования) и целевых взносов физических и (или) юридических лиц, в том числе иностранных граждан и (или) иностранных юридических лиц (далее по тексту - «привлечение средств»).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 Привлечение целевых взносов может иметь своей целью приобретение необходимого Учреждению имущества, укрепление и развитие материально-технической базы Учреждения, охрану жизни и здоровья обучающихся, обеспечение безопасности обучающихся в период образовательного процесса,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Привлечение Учреждением указанных дополнительных средств, не влечет за собой снижение нормативов и (или) абсолютных размеров его финансирования за счет средств Учредителя.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Привлечение Учреждением средств является правом, а не обязанностью Учреждения.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Основным принципом привлечения дополнительных средств Учреждением является добровольность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  внесения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целевые взносы и пожертвования могут привлекаться Учреждением только на добровольной   основе.  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понятия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Законные представители - родители, усыновители, опекуны, попечители обучающихся детей.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Учреждения.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Пожертвование - дарение вещи (включая деньги, ценные бумаги) или права в общеполезных целях. В контексте данного Положения общеполезная цель - развитие Учреждения. Пожертвование может также выражаться в добровольном безвозмездном личном труде родителей (законных представителей) детей по ремонту помещений Учреждения, оказании помощи в проведении мероприятий и т.д.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Жертвователь - юридическое или физическое лицо (в том числе законные представители), осуществляющее добровольное пожертвование.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Добровольные пожертвования могут предоставляться юридическими и физическими лицами в наличной и безналичной форме, а также в виде товаров, работ, услуг.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привлечения целевых взносов и пожертвований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Администрация Учреждения в лице уполномоченных работников (заведующего, его заместителей, педагогических работников и других) 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вправе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обратиться за привлечением денежных средств для Учреждения как в устной (на родительском собрании, в частной беседе), так и в письменной (в виде объявления, письма) форме. В случае такого обращения Учреждение обязано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 о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привлечения средств (осуществление текущего ремонта, укрепление материальной базы, проведение мероприятий и т.д.).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Решение о внесении целевых взносов и пожертвований в Учреждение со стороны физических и юридических лиц принимается ими самостоятельно с указанием цели реализации средств.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Внебюджетные средства поступают на лицевые счета по учету внебюджетных средств Учреждения, открытые согласно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Договору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открытие лицевого счета. Финансовый орган муниципального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 осуществляет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контроль за внебюджетной деятельностью Учреждения. Внебюджетные средства (родительская плата, добровольные пожертвования, целевые взносы) поступают в денежной форме на расчётные счета Учреждения.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Руководитель Учреждения организует и осуществляет контроль за ведением бухгалтерского учета привлеченных средств в соответствии с Инструкцией по бюджетному учету.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Иное имущество, переданное Учреждению, оформляется в обязательном порядке актом приема-передачи и ставится на баланс Учреждения в соответствии с действующим законодательством РФ.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3.6. Запрещается отказывать гражданам в приеме детей в Учреждение или исключать из него из-за невозможности или нежелания законных представителей осуществлять целевые взносы и пожертвования. Отказ не может сопровождаться какими-либо последствиями для обучающихся (детей) и иных лиц.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Запрещается каким-либо образом вовлекать обучающихся (детей) в финансовые отношения между их законными представителями и Учреждением.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оформления целевых взносов и пожертвований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Добровольный целевой взнос оформляется </w:t>
      </w:r>
      <w:r w:rsidRPr="00B77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заявлением 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 к настоящему Положению) физических лиц с указанием размера денежной суммы и конкретной цели использования этой суммы.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Добровольные пожертвования оформляются </w:t>
      </w:r>
      <w:r w:rsidRPr="00B77D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договором пожертвования 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 к настоящему Положению).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поступают на счёт Учреждения.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Все операции, производимые Учреждением, оформляются первичными документами согласно Инструкции по бухгалтерскому учету.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расходования целевых взносов и пожертвований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Расходование средств, принятых Учреждением, производится только в соответствии с их целевым назначением, если благотворителем не определены конкретные цели использования средств, пути направления благотворительного взноса определяются руководителем Учреждения совместно с педагогическим коллективом в соответствии с потребностями, связанными исключительно с уставной деятельностью Учреждения, а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п.1.5. настоящего Положения.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Использование указанных средств осуществляется путём оформления платежных документов (актов выполненных работ (оказанных услуг), счетов, счетов-фактур и проч.)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Администрацией Учреждения ежегодно предоставляется публичный отчет о привлечении и расходовании дополнительных финансовых средств на </w:t>
      </w: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сайте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  и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информационных ресурсах,  на общем  родительском собрании.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Ответственность за целевое использование целевых взносов и пожертвований несет руководитель Учреждения.</w:t>
      </w:r>
    </w:p>
    <w:p w:rsidR="00B77D18" w:rsidRP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Не допускается использование целевых взносов и пожертвований физических и (или) юридических лиц Учреждением на цели, не соответствующие уставной деятельности Учреждения и не в соответствии с назначением (целью) лица, сделавшего целевой взнос или совершившего пожертвование.</w:t>
      </w:r>
    </w:p>
    <w:p w:rsidR="00B77D18" w:rsidRDefault="00B77D18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случае нарушения Учреждением порядка учета и расходования </w:t>
      </w:r>
      <w:proofErr w:type="gramStart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добровольных  целевых</w:t>
      </w:r>
      <w:proofErr w:type="gramEnd"/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взносов и пожертвований руководитель Учреждения несёт ответственность в установленном законом порядке.</w:t>
      </w:r>
    </w:p>
    <w:p w:rsidR="00E267BC" w:rsidRPr="00C7494D" w:rsidRDefault="00E267BC" w:rsidP="00E267BC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</w:t>
      </w:r>
      <w:r w:rsidRPr="00E267BC">
        <w:rPr>
          <w:rFonts w:ascii="Times New Roman" w:hAnsi="Times New Roman" w:cs="Times New Roman"/>
          <w:sz w:val="28"/>
          <w:szCs w:val="28"/>
        </w:rPr>
        <w:t> «Информация о поступлении финансовых и материальных средств в качестве добровольных пожертвований и целевых взносов, и об их расходовании по итогам финансового года должна быть размешена на официальном сайте образовательной организации в информационно-телекоммуникационной сети «Интернет»».</w:t>
      </w:r>
    </w:p>
    <w:p w:rsidR="00E267BC" w:rsidRPr="00B77D18" w:rsidRDefault="00E267BC" w:rsidP="00B77D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Pr="00B77D18" w:rsidRDefault="00B77D18" w:rsidP="00B77D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7D18" w:rsidRPr="00B77D18" w:rsidRDefault="00B77D18" w:rsidP="00B77D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Pr="00B77D18" w:rsidRDefault="00B77D18" w:rsidP="00B77D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D18" w:rsidRPr="00B77D18" w:rsidRDefault="00B77D18" w:rsidP="00B77D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F84" w:rsidRDefault="00586F84"/>
    <w:sectPr w:rsidR="0058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1B"/>
    <w:rsid w:val="00586F84"/>
    <w:rsid w:val="00B77D18"/>
    <w:rsid w:val="00D97B1B"/>
    <w:rsid w:val="00E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DCD9"/>
  <w15:chartTrackingRefBased/>
  <w15:docId w15:val="{4AF264A2-03A4-44A2-AD86-8A3D440B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1177</Words>
  <Characters>6709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2020-12-29T08:01:00Z</cp:lastPrinted>
  <dcterms:created xsi:type="dcterms:W3CDTF">2019-02-01T11:20:00Z</dcterms:created>
  <dcterms:modified xsi:type="dcterms:W3CDTF">2020-12-29T08:03:00Z</dcterms:modified>
</cp:coreProperties>
</file>